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5808" w:rsidRDefault="00A65808">
      <w:pPr>
        <w:rPr>
          <w:b/>
        </w:rPr>
      </w:pPr>
      <w:r>
        <w:rPr>
          <w:b/>
        </w:rPr>
        <w:t>OBSERVACIONES DEL EVALUADOR NO ACOGIDAS POR EL AUTOR</w:t>
      </w:r>
    </w:p>
    <w:p w:rsidR="00A65808" w:rsidRDefault="00A65808">
      <w:pPr>
        <w:rPr>
          <w:b/>
        </w:rPr>
      </w:pPr>
    </w:p>
    <w:p w:rsidR="004B241E" w:rsidRPr="004B241E" w:rsidRDefault="004B241E">
      <w:pPr>
        <w:rPr>
          <w:b/>
        </w:rPr>
      </w:pPr>
      <w:r w:rsidRPr="004B241E">
        <w:rPr>
          <w:b/>
        </w:rPr>
        <w:t>VULCANOLOGÍA</w:t>
      </w:r>
    </w:p>
    <w:p w:rsidR="00C12A43" w:rsidRDefault="00C12A43">
      <w:r>
        <w:t>En relación al cuestionamiento referente a los efectos de la Vulcanología sobre las lagunas Verdes ubicadas al pie del Volcán Chiles, se realizaron las siguientes consultas a través de fuentes oficiales:</w:t>
      </w:r>
    </w:p>
    <w:p w:rsidR="00C12A43" w:rsidRDefault="00C12A43"/>
    <w:p w:rsidR="00C12A43" w:rsidRDefault="00C12A43">
      <w:r>
        <w:rPr>
          <w:noProof/>
          <w:lang w:eastAsia="es-EC"/>
        </w:rPr>
        <w:drawing>
          <wp:inline distT="0" distB="0" distL="0" distR="0" wp14:anchorId="3A3DB364" wp14:editId="4A501B6B">
            <wp:extent cx="5980191" cy="336210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91694" cy="3368567"/>
                    </a:xfrm>
                    <a:prstGeom prst="rect">
                      <a:avLst/>
                    </a:prstGeom>
                  </pic:spPr>
                </pic:pic>
              </a:graphicData>
            </a:graphic>
          </wp:inline>
        </w:drawing>
      </w:r>
    </w:p>
    <w:p w:rsidR="00C12A43" w:rsidRDefault="00C12A43"/>
    <w:p w:rsidR="00C12A43" w:rsidRPr="00C12A43" w:rsidRDefault="00C12A43" w:rsidP="00C12A43">
      <w:pPr>
        <w:shd w:val="clear" w:color="auto" w:fill="FFFFFF"/>
        <w:spacing w:after="150" w:line="315" w:lineRule="atLeast"/>
        <w:jc w:val="both"/>
        <w:rPr>
          <w:rFonts w:ascii="Helvetica" w:eastAsia="Times New Roman" w:hAnsi="Helvetica" w:cs="Helvetica"/>
          <w:color w:val="000000"/>
          <w:sz w:val="21"/>
          <w:szCs w:val="21"/>
          <w:lang w:val="es-ES" w:eastAsia="es-EC"/>
        </w:rPr>
      </w:pPr>
      <w:r w:rsidRPr="00C12A43">
        <w:rPr>
          <w:rFonts w:ascii="Helvetica" w:eastAsia="Times New Roman" w:hAnsi="Helvetica" w:cs="Helvetica"/>
          <w:color w:val="000000"/>
          <w:sz w:val="21"/>
          <w:szCs w:val="21"/>
          <w:lang w:val="es-ES" w:eastAsia="es-EC"/>
        </w:rPr>
        <w:t>Los eventos de este enjambre sísmico se localizaron en el flanco sur del Volcán Chiles, con profundidades de entre 4 y 12 km por debajo del nivel de la cumbre, ver figura 3.</w:t>
      </w:r>
    </w:p>
    <w:p w:rsidR="00C12A43" w:rsidRPr="00C12A43" w:rsidRDefault="00C12A43" w:rsidP="00C12A43">
      <w:pPr>
        <w:shd w:val="clear" w:color="auto" w:fill="FFFFFF"/>
        <w:spacing w:after="0" w:line="315" w:lineRule="atLeast"/>
        <w:jc w:val="center"/>
        <w:rPr>
          <w:rFonts w:ascii="Helvetica" w:eastAsia="Times New Roman" w:hAnsi="Helvetica" w:cs="Helvetica"/>
          <w:color w:val="000000"/>
          <w:sz w:val="21"/>
          <w:szCs w:val="21"/>
          <w:lang w:val="es-ES" w:eastAsia="es-EC"/>
        </w:rPr>
      </w:pPr>
      <w:r w:rsidRPr="00C12A43">
        <w:rPr>
          <w:rFonts w:ascii="Helvetica" w:eastAsia="Times New Roman" w:hAnsi="Helvetica" w:cs="Helvetica"/>
          <w:noProof/>
          <w:color w:val="0099FF"/>
          <w:sz w:val="21"/>
          <w:szCs w:val="21"/>
          <w:bdr w:val="none" w:sz="0" w:space="0" w:color="auto" w:frame="1"/>
          <w:shd w:val="clear" w:color="auto" w:fill="FFFFFF"/>
          <w:lang w:eastAsia="es-EC"/>
        </w:rPr>
        <w:lastRenderedPageBreak/>
        <w:drawing>
          <wp:inline distT="0" distB="0" distL="0" distR="0">
            <wp:extent cx="4619625" cy="3930581"/>
            <wp:effectExtent l="0" t="0" r="0" b="0"/>
            <wp:docPr id="2" name="Imagen 2" descr="Informe Especial Chiles - Cerro Negro N. 1 - 2018">
              <a:hlinkClick xmlns:a="http://schemas.openxmlformats.org/drawingml/2006/main" r:id="rId5" tooltip="&quot;Clic para vista previa de la imag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rme Especial Chiles - Cerro Negro N. 1 - 2018">
                      <a:hlinkClick r:id="rId5" tooltip="&quot;Clic para vista previa de la imagen&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0694" cy="3939999"/>
                    </a:xfrm>
                    <a:prstGeom prst="rect">
                      <a:avLst/>
                    </a:prstGeom>
                    <a:noFill/>
                    <a:ln>
                      <a:noFill/>
                    </a:ln>
                  </pic:spPr>
                </pic:pic>
              </a:graphicData>
            </a:graphic>
          </wp:inline>
        </w:drawing>
      </w:r>
    </w:p>
    <w:p w:rsidR="00C12A43" w:rsidRPr="00C12A43" w:rsidRDefault="00C12A43" w:rsidP="00C12A43">
      <w:pPr>
        <w:shd w:val="clear" w:color="auto" w:fill="FFFFFF"/>
        <w:spacing w:after="0" w:line="315" w:lineRule="atLeast"/>
        <w:jc w:val="center"/>
        <w:rPr>
          <w:rFonts w:ascii="Helvetica" w:eastAsia="Times New Roman" w:hAnsi="Helvetica" w:cs="Helvetica"/>
          <w:color w:val="333333"/>
          <w:sz w:val="21"/>
          <w:szCs w:val="21"/>
          <w:lang w:val="es-ES" w:eastAsia="es-EC"/>
        </w:rPr>
      </w:pPr>
      <w:r w:rsidRPr="00C12A43">
        <w:rPr>
          <w:rFonts w:ascii="Helvetica" w:eastAsia="Times New Roman" w:hAnsi="Helvetica" w:cs="Helvetica"/>
          <w:color w:val="333333"/>
          <w:sz w:val="21"/>
          <w:szCs w:val="21"/>
          <w:lang w:val="es-ES" w:eastAsia="es-EC"/>
        </w:rPr>
        <w:t xml:space="preserve">Figura 3. Localización en planta y corte E-O de 65 eventos </w:t>
      </w:r>
      <w:proofErr w:type="spellStart"/>
      <w:r w:rsidRPr="00C12A43">
        <w:rPr>
          <w:rFonts w:ascii="Helvetica" w:eastAsia="Times New Roman" w:hAnsi="Helvetica" w:cs="Helvetica"/>
          <w:color w:val="333333"/>
          <w:sz w:val="21"/>
          <w:szCs w:val="21"/>
          <w:lang w:val="es-ES" w:eastAsia="es-EC"/>
        </w:rPr>
        <w:t>volcano</w:t>
      </w:r>
      <w:proofErr w:type="spellEnd"/>
      <w:r w:rsidRPr="00C12A43">
        <w:rPr>
          <w:rFonts w:ascii="Helvetica" w:eastAsia="Times New Roman" w:hAnsi="Helvetica" w:cs="Helvetica"/>
          <w:color w:val="333333"/>
          <w:sz w:val="21"/>
          <w:szCs w:val="21"/>
          <w:lang w:val="es-ES" w:eastAsia="es-EC"/>
        </w:rPr>
        <w:t>-tectónicos del enjambre sísmico registrado entre el 3 y 6 de diciembre. La escala de colores corresponde a la fecha de los eventos. Rojo: Cerro Negro; Celeste: Chiles.</w:t>
      </w:r>
    </w:p>
    <w:p w:rsidR="00C12A43" w:rsidRPr="00C12A43" w:rsidRDefault="00C12A43" w:rsidP="00C12A43">
      <w:pPr>
        <w:shd w:val="clear" w:color="auto" w:fill="FFFFFF"/>
        <w:spacing w:line="315" w:lineRule="atLeast"/>
        <w:jc w:val="center"/>
        <w:rPr>
          <w:rFonts w:ascii="Helvetica" w:eastAsia="Times New Roman" w:hAnsi="Helvetica" w:cs="Helvetica"/>
          <w:color w:val="333333"/>
          <w:sz w:val="21"/>
          <w:szCs w:val="21"/>
          <w:lang w:val="es-ES" w:eastAsia="es-EC"/>
        </w:rPr>
      </w:pPr>
    </w:p>
    <w:p w:rsidR="00C12A43" w:rsidRDefault="00C12A43" w:rsidP="00C12A43">
      <w:pPr>
        <w:shd w:val="clear" w:color="auto" w:fill="FFFFFF"/>
        <w:spacing w:after="150" w:line="315" w:lineRule="atLeast"/>
        <w:jc w:val="both"/>
        <w:rPr>
          <w:rFonts w:ascii="Helvetica" w:eastAsia="Times New Roman" w:hAnsi="Helvetica" w:cs="Helvetica"/>
          <w:color w:val="000000"/>
          <w:sz w:val="21"/>
          <w:szCs w:val="21"/>
          <w:lang w:val="es-ES" w:eastAsia="es-EC"/>
        </w:rPr>
      </w:pPr>
      <w:r w:rsidRPr="00C12A43">
        <w:rPr>
          <w:rFonts w:ascii="Helvetica" w:eastAsia="Times New Roman" w:hAnsi="Helvetica" w:cs="Helvetica"/>
          <w:color w:val="000000"/>
          <w:sz w:val="21"/>
          <w:szCs w:val="21"/>
          <w:lang w:val="es-ES" w:eastAsia="es-EC"/>
        </w:rPr>
        <w:t xml:space="preserve"> La mayoría de los sismos de este enjambre presentaron magnitudes menores a 2 </w:t>
      </w:r>
      <w:proofErr w:type="spellStart"/>
      <w:r w:rsidRPr="00C12A43">
        <w:rPr>
          <w:rFonts w:ascii="Helvetica" w:eastAsia="Times New Roman" w:hAnsi="Helvetica" w:cs="Helvetica"/>
          <w:color w:val="000000"/>
          <w:sz w:val="21"/>
          <w:szCs w:val="21"/>
          <w:lang w:val="es-ES" w:eastAsia="es-EC"/>
        </w:rPr>
        <w:t>MLv</w:t>
      </w:r>
      <w:proofErr w:type="spellEnd"/>
      <w:r w:rsidRPr="00C12A43">
        <w:rPr>
          <w:rFonts w:ascii="Helvetica" w:eastAsia="Times New Roman" w:hAnsi="Helvetica" w:cs="Helvetica"/>
          <w:color w:val="000000"/>
          <w:sz w:val="21"/>
          <w:szCs w:val="21"/>
          <w:lang w:val="es-ES" w:eastAsia="es-EC"/>
        </w:rPr>
        <w:t xml:space="preserve"> (magnitud local promedio, calculada con la amplitud de las señales en las componentes verticales de varias estaciones) y la máxima fue de 3.3 </w:t>
      </w:r>
      <w:proofErr w:type="spellStart"/>
      <w:r w:rsidRPr="00C12A43">
        <w:rPr>
          <w:rFonts w:ascii="Helvetica" w:eastAsia="Times New Roman" w:hAnsi="Helvetica" w:cs="Helvetica"/>
          <w:color w:val="000000"/>
          <w:sz w:val="21"/>
          <w:szCs w:val="21"/>
          <w:lang w:val="es-ES" w:eastAsia="es-EC"/>
        </w:rPr>
        <w:t>MLv</w:t>
      </w:r>
      <w:proofErr w:type="spellEnd"/>
      <w:r w:rsidRPr="00C12A43">
        <w:rPr>
          <w:rFonts w:ascii="Helvetica" w:eastAsia="Times New Roman" w:hAnsi="Helvetica" w:cs="Helvetica"/>
          <w:color w:val="000000"/>
          <w:sz w:val="21"/>
          <w:szCs w:val="21"/>
          <w:lang w:val="es-ES" w:eastAsia="es-EC"/>
        </w:rPr>
        <w:t xml:space="preserve"> (ver figura 4); el Instituto Geofísico no recibió reportes por parte de los pobladores de haber sentido alguno de estos eventos.</w:t>
      </w:r>
    </w:p>
    <w:p w:rsidR="002710D7" w:rsidRPr="00C12A43" w:rsidRDefault="002710D7" w:rsidP="00C12A43">
      <w:pPr>
        <w:shd w:val="clear" w:color="auto" w:fill="FFFFFF"/>
        <w:spacing w:after="150" w:line="315" w:lineRule="atLeast"/>
        <w:jc w:val="both"/>
        <w:rPr>
          <w:rFonts w:ascii="Helvetica" w:eastAsia="Times New Roman" w:hAnsi="Helvetica" w:cs="Helvetica"/>
          <w:color w:val="000000"/>
          <w:sz w:val="21"/>
          <w:szCs w:val="21"/>
          <w:lang w:val="es-ES" w:eastAsia="es-EC"/>
        </w:rPr>
      </w:pPr>
      <w:r>
        <w:rPr>
          <w:noProof/>
          <w:lang w:eastAsia="es-EC"/>
        </w:rPr>
        <w:lastRenderedPageBreak/>
        <w:drawing>
          <wp:inline distT="0" distB="0" distL="0" distR="0" wp14:anchorId="127FC661" wp14:editId="5935E967">
            <wp:extent cx="6726049" cy="37814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35072" cy="3786498"/>
                    </a:xfrm>
                    <a:prstGeom prst="rect">
                      <a:avLst/>
                    </a:prstGeom>
                  </pic:spPr>
                </pic:pic>
              </a:graphicData>
            </a:graphic>
          </wp:inline>
        </w:drawing>
      </w:r>
    </w:p>
    <w:p w:rsidR="00C12A43" w:rsidRDefault="00C12A43" w:rsidP="00C12A43">
      <w:pPr>
        <w:pStyle w:val="NormalWeb"/>
        <w:shd w:val="clear" w:color="auto" w:fill="FFFFFF"/>
        <w:spacing w:line="315" w:lineRule="atLeast"/>
        <w:jc w:val="both"/>
        <w:rPr>
          <w:rStyle w:val="Textoennegrita"/>
          <w:rFonts w:ascii="Open Sans" w:hAnsi="Open Sans" w:cs="Helvetica"/>
          <w:sz w:val="21"/>
          <w:szCs w:val="21"/>
          <w:lang w:val="es-ES"/>
        </w:rPr>
      </w:pPr>
      <w:r>
        <w:rPr>
          <w:rStyle w:val="Textoennegrita"/>
          <w:rFonts w:ascii="Open Sans" w:hAnsi="Open Sans" w:cs="Helvetica"/>
          <w:sz w:val="21"/>
          <w:szCs w:val="21"/>
          <w:lang w:val="es-ES"/>
        </w:rPr>
        <w:t>Conclusiones</w:t>
      </w:r>
    </w:p>
    <w:p w:rsidR="002710D7" w:rsidRDefault="002710D7" w:rsidP="00C12A43">
      <w:pPr>
        <w:pStyle w:val="NormalWeb"/>
        <w:shd w:val="clear" w:color="auto" w:fill="FFFFFF"/>
        <w:spacing w:line="315" w:lineRule="atLeast"/>
        <w:jc w:val="both"/>
        <w:rPr>
          <w:rFonts w:ascii="Open Sans" w:hAnsi="Open Sans" w:cs="Helvetica"/>
          <w:sz w:val="21"/>
          <w:szCs w:val="21"/>
          <w:lang w:val="es-ES"/>
        </w:rPr>
      </w:pPr>
      <w:r>
        <w:rPr>
          <w:rFonts w:ascii="Avenir Next" w:hAnsi="Avenir Next"/>
          <w:color w:val="4C4C4C"/>
        </w:rPr>
        <w:t xml:space="preserve">Los volcanes Chiles y Cerro Negro están ubicados en la frontera de Ecuador (provincia del Carchi) y Colombia (departamento de Nariño), a distancias de 25 km al Oeste de la ciudad de Tulcán y a 130 km al Norte de Quito. El Complejo Volcánico Chiles-Cerro Negro se edifica sobre la Cordillera Occidental de los Andes. El edifico actual del Chiles </w:t>
      </w:r>
      <w:proofErr w:type="spellStart"/>
      <w:r>
        <w:rPr>
          <w:rFonts w:ascii="Avenir Next" w:hAnsi="Avenir Next"/>
          <w:color w:val="4C4C4C"/>
        </w:rPr>
        <w:t>esta</w:t>
      </w:r>
      <w:proofErr w:type="spellEnd"/>
      <w:r>
        <w:rPr>
          <w:rFonts w:ascii="Avenir Next" w:hAnsi="Avenir Next"/>
          <w:color w:val="4C4C4C"/>
        </w:rPr>
        <w:t xml:space="preserve"> conformado fundamentalmente por varios episodios de flujos de lava y el volcán Cerro Negro por flujos de lava y de </w:t>
      </w:r>
      <w:proofErr w:type="spellStart"/>
      <w:r>
        <w:rPr>
          <w:rFonts w:ascii="Avenir Next" w:hAnsi="Avenir Next"/>
          <w:color w:val="4C4C4C"/>
        </w:rPr>
        <w:t>piroclástos</w:t>
      </w:r>
      <w:proofErr w:type="spellEnd"/>
      <w:r>
        <w:rPr>
          <w:rFonts w:ascii="Avenir Next" w:hAnsi="Avenir Next"/>
          <w:color w:val="4C4C4C"/>
        </w:rPr>
        <w:t xml:space="preserve">. La evolución geológica del complejo es muy poco conocida. Sin embargo, en el estudio realizado por Santamaría et al. (2015), en depósitos de </w:t>
      </w:r>
      <w:proofErr w:type="spellStart"/>
      <w:r>
        <w:rPr>
          <w:rFonts w:ascii="Avenir Next" w:hAnsi="Avenir Next"/>
          <w:color w:val="4C4C4C"/>
        </w:rPr>
        <w:t>tefra</w:t>
      </w:r>
      <w:proofErr w:type="spellEnd"/>
      <w:r>
        <w:rPr>
          <w:rFonts w:ascii="Avenir Next" w:hAnsi="Avenir Next"/>
          <w:color w:val="4C4C4C"/>
        </w:rPr>
        <w:t xml:space="preserve"> hallados en suelos orgánicos tipo turba, se descartó una posible actividad explosiva relacionada a los edificios Cerro Negro o Chiles en los últimos ~6,900 años, </w:t>
      </w:r>
      <w:r w:rsidRPr="0085398E">
        <w:rPr>
          <w:rFonts w:ascii="Avenir Next" w:hAnsi="Avenir Next"/>
          <w:b/>
          <w:color w:val="4C4C4C"/>
        </w:rPr>
        <w:t>catalogándolos como volcanes potencialmente activos.</w:t>
      </w:r>
    </w:p>
    <w:p w:rsidR="00C12A43" w:rsidRDefault="00C12A43"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DP, SH, MM, MS</w:t>
      </w:r>
      <w:r>
        <w:rPr>
          <w:rFonts w:ascii="Open Sans" w:hAnsi="Open Sans" w:cs="Helvetica"/>
          <w:sz w:val="21"/>
          <w:szCs w:val="21"/>
          <w:lang w:val="es-ES"/>
        </w:rPr>
        <w:br/>
        <w:t>Instituto Geofísico</w:t>
      </w:r>
      <w:r>
        <w:rPr>
          <w:rFonts w:ascii="Open Sans" w:hAnsi="Open Sans" w:cs="Helvetica"/>
          <w:sz w:val="21"/>
          <w:szCs w:val="21"/>
          <w:lang w:val="es-ES"/>
        </w:rPr>
        <w:br/>
        <w:t>Escuela Politécnica Nacional</w:t>
      </w:r>
    </w:p>
    <w:p w:rsidR="004B241E" w:rsidRDefault="004B241E" w:rsidP="00C12A43">
      <w:pPr>
        <w:pStyle w:val="NormalWeb"/>
        <w:shd w:val="clear" w:color="auto" w:fill="FFFFFF"/>
        <w:spacing w:line="315" w:lineRule="atLeast"/>
        <w:rPr>
          <w:rFonts w:ascii="Open Sans" w:hAnsi="Open Sans" w:cs="Helvetica"/>
          <w:sz w:val="21"/>
          <w:szCs w:val="21"/>
          <w:lang w:val="es-ES"/>
        </w:rPr>
      </w:pPr>
    </w:p>
    <w:p w:rsidR="004B241E" w:rsidRPr="009F2D16" w:rsidRDefault="004B241E" w:rsidP="00C12A43">
      <w:pPr>
        <w:pStyle w:val="NormalWeb"/>
        <w:shd w:val="clear" w:color="auto" w:fill="FFFFFF"/>
        <w:spacing w:line="315" w:lineRule="atLeast"/>
        <w:rPr>
          <w:rFonts w:ascii="Open Sans" w:hAnsi="Open Sans" w:cs="Helvetica"/>
          <w:b/>
          <w:sz w:val="21"/>
          <w:szCs w:val="21"/>
          <w:lang w:val="es-ES"/>
        </w:rPr>
      </w:pPr>
      <w:r w:rsidRPr="009F2D16">
        <w:rPr>
          <w:rFonts w:ascii="Open Sans" w:hAnsi="Open Sans" w:cs="Helvetica"/>
          <w:b/>
          <w:sz w:val="21"/>
          <w:szCs w:val="21"/>
          <w:lang w:val="es-ES"/>
        </w:rPr>
        <w:t>MINERIA</w:t>
      </w:r>
    </w:p>
    <w:p w:rsidR="004B241E" w:rsidRDefault="004B241E"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 xml:space="preserve">De </w:t>
      </w:r>
      <w:r w:rsidR="009F2D16">
        <w:rPr>
          <w:rFonts w:ascii="Open Sans" w:hAnsi="Open Sans" w:cs="Helvetica"/>
          <w:sz w:val="21"/>
          <w:szCs w:val="21"/>
          <w:lang w:val="es-ES"/>
        </w:rPr>
        <w:t>acuerdo</w:t>
      </w:r>
      <w:r>
        <w:rPr>
          <w:rFonts w:ascii="Open Sans" w:hAnsi="Open Sans" w:cs="Helvetica"/>
          <w:sz w:val="21"/>
          <w:szCs w:val="21"/>
          <w:lang w:val="es-ES"/>
        </w:rPr>
        <w:t xml:space="preserve"> al mapa referente al Catastro Minero del Ecuador, efectivamente se observa </w:t>
      </w:r>
      <w:r w:rsidR="0085398E">
        <w:rPr>
          <w:rFonts w:ascii="Open Sans" w:hAnsi="Open Sans" w:cs="Helvetica"/>
          <w:sz w:val="21"/>
          <w:szCs w:val="21"/>
          <w:lang w:val="es-ES"/>
        </w:rPr>
        <w:t xml:space="preserve">reporte de </w:t>
      </w:r>
      <w:r>
        <w:rPr>
          <w:rFonts w:ascii="Open Sans" w:hAnsi="Open Sans" w:cs="Helvetica"/>
          <w:sz w:val="21"/>
          <w:szCs w:val="21"/>
          <w:lang w:val="es-ES"/>
        </w:rPr>
        <w:t xml:space="preserve">minería en el sector del Chiles. Sin embargo, esta se encuentra bajo la categoría de </w:t>
      </w:r>
      <w:r w:rsidR="009F2D16">
        <w:rPr>
          <w:rFonts w:ascii="Open Sans" w:hAnsi="Open Sans" w:cs="Helvetica"/>
          <w:sz w:val="21"/>
          <w:szCs w:val="21"/>
          <w:lang w:val="es-ES"/>
        </w:rPr>
        <w:t xml:space="preserve">INSCRITA, condición que no atribuye explotación directa en el área de influencia al punto de estudio, como se hace referencia en la fotografía aérea enviada por el revisor.  Las tonalidades blancas de la fotografía obedecen específicamente a deslizamientos de tierra puntuales, que no necesariamente evidencian una actividad de explotación minera directa en el sector. Además, la imagen no muestra evidencias </w:t>
      </w:r>
      <w:r w:rsidR="009F2D16">
        <w:rPr>
          <w:rFonts w:ascii="Open Sans" w:hAnsi="Open Sans" w:cs="Helvetica"/>
          <w:sz w:val="21"/>
          <w:szCs w:val="21"/>
          <w:lang w:val="es-ES"/>
        </w:rPr>
        <w:lastRenderedPageBreak/>
        <w:t xml:space="preserve">claras de caminos o vías de acceso que lleguen directamente a estos puntos de </w:t>
      </w:r>
      <w:r w:rsidR="0085398E">
        <w:rPr>
          <w:rFonts w:ascii="Open Sans" w:hAnsi="Open Sans" w:cs="Helvetica"/>
          <w:sz w:val="21"/>
          <w:szCs w:val="21"/>
          <w:lang w:val="es-ES"/>
        </w:rPr>
        <w:t xml:space="preserve">supuesta </w:t>
      </w:r>
      <w:r w:rsidR="009F2D16">
        <w:rPr>
          <w:rFonts w:ascii="Open Sans" w:hAnsi="Open Sans" w:cs="Helvetica"/>
          <w:sz w:val="21"/>
          <w:szCs w:val="21"/>
          <w:lang w:val="es-ES"/>
        </w:rPr>
        <w:t>extracción minera observados por el revisor. Lo único que se observa en cuanto a vías de acceso es el camino principal (</w:t>
      </w:r>
      <w:r w:rsidR="009F1C97">
        <w:rPr>
          <w:rFonts w:ascii="Open Sans" w:hAnsi="Open Sans" w:cs="Helvetica"/>
          <w:sz w:val="21"/>
          <w:szCs w:val="21"/>
          <w:lang w:val="es-ES"/>
        </w:rPr>
        <w:t>vía</w:t>
      </w:r>
      <w:r w:rsidR="009F2D16">
        <w:rPr>
          <w:rFonts w:ascii="Open Sans" w:hAnsi="Open Sans" w:cs="Helvetica"/>
          <w:sz w:val="21"/>
          <w:szCs w:val="21"/>
          <w:lang w:val="es-ES"/>
        </w:rPr>
        <w:t xml:space="preserve"> </w:t>
      </w:r>
      <w:proofErr w:type="spellStart"/>
      <w:r w:rsidR="009F2D16">
        <w:rPr>
          <w:rFonts w:ascii="Open Sans" w:hAnsi="Open Sans" w:cs="Helvetica"/>
          <w:sz w:val="21"/>
          <w:szCs w:val="21"/>
          <w:lang w:val="es-ES"/>
        </w:rPr>
        <w:t>Tufiño</w:t>
      </w:r>
      <w:proofErr w:type="spellEnd"/>
      <w:r w:rsidR="009F2D16">
        <w:rPr>
          <w:rFonts w:ascii="Open Sans" w:hAnsi="Open Sans" w:cs="Helvetica"/>
          <w:sz w:val="21"/>
          <w:szCs w:val="21"/>
          <w:lang w:val="es-ES"/>
        </w:rPr>
        <w:t xml:space="preserve"> – Maldonado) y una pequeña vía secundaria que baja a una de las lagunas de estudio pero que no tiene relación directa con la hipotética explotación minera en referencia. </w:t>
      </w:r>
    </w:p>
    <w:p w:rsidR="009F2D16" w:rsidRDefault="0085398E" w:rsidP="00C12A43">
      <w:pPr>
        <w:pStyle w:val="NormalWeb"/>
        <w:shd w:val="clear" w:color="auto" w:fill="FFFFFF"/>
        <w:spacing w:line="315" w:lineRule="atLeast"/>
        <w:rPr>
          <w:rFonts w:ascii="Open Sans" w:hAnsi="Open Sans" w:cs="Helvetica"/>
          <w:sz w:val="21"/>
          <w:szCs w:val="21"/>
          <w:lang w:val="es-ES"/>
        </w:rPr>
      </w:pPr>
      <w:r>
        <w:rPr>
          <w:noProof/>
        </w:rPr>
        <w:drawing>
          <wp:inline distT="0" distB="0" distL="0" distR="0" wp14:anchorId="51FDE085" wp14:editId="139B362C">
            <wp:extent cx="5400040" cy="30360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036086"/>
                    </a:xfrm>
                    <a:prstGeom prst="rect">
                      <a:avLst/>
                    </a:prstGeom>
                  </pic:spPr>
                </pic:pic>
              </a:graphicData>
            </a:graphic>
          </wp:inline>
        </w:drawing>
      </w:r>
    </w:p>
    <w:p w:rsidR="0085398E" w:rsidRDefault="0085398E" w:rsidP="00C12A43">
      <w:pPr>
        <w:pStyle w:val="NormalWeb"/>
        <w:shd w:val="clear" w:color="auto" w:fill="FFFFFF"/>
        <w:spacing w:line="315" w:lineRule="atLeast"/>
        <w:rPr>
          <w:rFonts w:ascii="Open Sans" w:hAnsi="Open Sans" w:cs="Helvetica"/>
          <w:sz w:val="21"/>
          <w:szCs w:val="21"/>
          <w:lang w:val="es-ES"/>
        </w:rPr>
      </w:pPr>
    </w:p>
    <w:p w:rsidR="0085398E" w:rsidRDefault="0085398E"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 xml:space="preserve">En función de estas </w:t>
      </w:r>
      <w:r w:rsidR="00A65808">
        <w:rPr>
          <w:rFonts w:ascii="Open Sans" w:hAnsi="Open Sans" w:cs="Helvetica"/>
          <w:sz w:val="21"/>
          <w:szCs w:val="21"/>
          <w:lang w:val="es-ES"/>
        </w:rPr>
        <w:t>investigaciones</w:t>
      </w:r>
      <w:r>
        <w:rPr>
          <w:rFonts w:ascii="Open Sans" w:hAnsi="Open Sans" w:cs="Helvetica"/>
          <w:sz w:val="21"/>
          <w:szCs w:val="21"/>
          <w:lang w:val="es-ES"/>
        </w:rPr>
        <w:t>, se procedió a incluir referencias sobre</w:t>
      </w:r>
      <w:r w:rsidR="00A65808">
        <w:rPr>
          <w:rFonts w:ascii="Open Sans" w:hAnsi="Open Sans" w:cs="Helvetica"/>
          <w:sz w:val="21"/>
          <w:szCs w:val="21"/>
          <w:lang w:val="es-ES"/>
        </w:rPr>
        <w:t xml:space="preserve"> la actividad volcánica</w:t>
      </w:r>
      <w:r>
        <w:rPr>
          <w:rFonts w:ascii="Open Sans" w:hAnsi="Open Sans" w:cs="Helvetica"/>
          <w:sz w:val="21"/>
          <w:szCs w:val="21"/>
          <w:lang w:val="es-ES"/>
        </w:rPr>
        <w:t xml:space="preserve"> en el sector, pero señalando que no es el principal factor de cambio en la estructura y composición florística de las especies de plantas acuáticas. </w:t>
      </w:r>
      <w:r w:rsidR="00A65808">
        <w:rPr>
          <w:rFonts w:ascii="Open Sans" w:hAnsi="Open Sans" w:cs="Helvetica"/>
          <w:sz w:val="21"/>
          <w:szCs w:val="21"/>
          <w:lang w:val="es-ES"/>
        </w:rPr>
        <w:t xml:space="preserve">El efecto de la minería no se lo trata por no tener pertinencia en el contexto. </w:t>
      </w:r>
    </w:p>
    <w:p w:rsidR="0085398E" w:rsidRPr="004E41C1" w:rsidRDefault="004E41C1" w:rsidP="00C12A43">
      <w:pPr>
        <w:pStyle w:val="NormalWeb"/>
        <w:shd w:val="clear" w:color="auto" w:fill="FFFFFF"/>
        <w:spacing w:line="315" w:lineRule="atLeast"/>
        <w:rPr>
          <w:rFonts w:ascii="Open Sans" w:hAnsi="Open Sans" w:cs="Helvetica"/>
          <w:b/>
          <w:sz w:val="21"/>
          <w:szCs w:val="21"/>
          <w:lang w:val="es-ES"/>
        </w:rPr>
      </w:pPr>
      <w:r w:rsidRPr="004E41C1">
        <w:rPr>
          <w:rFonts w:ascii="Open Sans" w:hAnsi="Open Sans" w:cs="Helvetica"/>
          <w:b/>
          <w:sz w:val="21"/>
          <w:szCs w:val="21"/>
          <w:lang w:val="es-ES"/>
        </w:rPr>
        <w:t>Métodos</w:t>
      </w:r>
    </w:p>
    <w:p w:rsidR="004E41C1" w:rsidRDefault="004E41C1"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 xml:space="preserve">No se aplicó un PCA en los análisis ya que el estudio pretende evidenciar cambios en la estructura y composición florística atribuibles a las variables ambientales que interactúan con la vegetación a lo largo del tiempo, mas no se pretende identificar aquellas variables que están expresando la mayor variación de los resultados. </w:t>
      </w:r>
      <w:bookmarkStart w:id="0" w:name="_GoBack"/>
      <w:bookmarkEnd w:id="0"/>
    </w:p>
    <w:p w:rsidR="009F2D16" w:rsidRDefault="004E41C1"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 xml:space="preserve">No se hace referencia a la minería ya que los argumentos anteriores demuestran </w:t>
      </w:r>
      <w:r w:rsidR="00107ACE">
        <w:rPr>
          <w:rFonts w:ascii="Open Sans" w:hAnsi="Open Sans" w:cs="Helvetica"/>
          <w:sz w:val="21"/>
          <w:szCs w:val="21"/>
          <w:lang w:val="es-ES"/>
        </w:rPr>
        <w:t>que,</w:t>
      </w:r>
      <w:r>
        <w:rPr>
          <w:rFonts w:ascii="Open Sans" w:hAnsi="Open Sans" w:cs="Helvetica"/>
          <w:sz w:val="21"/>
          <w:szCs w:val="21"/>
          <w:lang w:val="es-ES"/>
        </w:rPr>
        <w:t xml:space="preserve"> en la zona de influencia directa, no se desarrolla tal actividad. </w:t>
      </w:r>
    </w:p>
    <w:p w:rsidR="004E41C1" w:rsidRDefault="004E41C1"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No se menciona a la profundidad como parte de las variables estudiadas</w:t>
      </w:r>
      <w:r w:rsidR="002569BC">
        <w:rPr>
          <w:rFonts w:ascii="Open Sans" w:hAnsi="Open Sans" w:cs="Helvetica"/>
          <w:sz w:val="21"/>
          <w:szCs w:val="21"/>
          <w:lang w:val="es-ES"/>
        </w:rPr>
        <w:t>,</w:t>
      </w:r>
      <w:r>
        <w:rPr>
          <w:rFonts w:ascii="Open Sans" w:hAnsi="Open Sans" w:cs="Helvetica"/>
          <w:sz w:val="21"/>
          <w:szCs w:val="21"/>
          <w:lang w:val="es-ES"/>
        </w:rPr>
        <w:t xml:space="preserve"> ya que el análisis no está orientado a determinar los patrones de distribución espacial de las especies frente a una gradiente de profundidad. Lo que se pretende determinar es únicamente si la estructura y composición de las plantas acuáticas ha cambiado en el tiempo y en relación al cambio climático. </w:t>
      </w:r>
    </w:p>
    <w:p w:rsidR="00B6051E" w:rsidRPr="00F65FF0" w:rsidRDefault="00F65FF0" w:rsidP="00C12A43">
      <w:pPr>
        <w:pStyle w:val="NormalWeb"/>
        <w:shd w:val="clear" w:color="auto" w:fill="FFFFFF"/>
        <w:spacing w:line="315" w:lineRule="atLeast"/>
        <w:rPr>
          <w:rFonts w:ascii="Open Sans" w:hAnsi="Open Sans" w:cs="Helvetica"/>
          <w:b/>
          <w:sz w:val="21"/>
          <w:szCs w:val="21"/>
          <w:lang w:val="es-ES"/>
        </w:rPr>
      </w:pPr>
      <w:r w:rsidRPr="00F65FF0">
        <w:rPr>
          <w:rFonts w:ascii="Open Sans" w:hAnsi="Open Sans" w:cs="Helvetica"/>
          <w:b/>
          <w:sz w:val="21"/>
          <w:szCs w:val="21"/>
          <w:lang w:val="es-ES"/>
        </w:rPr>
        <w:t>Discusión</w:t>
      </w:r>
    </w:p>
    <w:p w:rsidR="00F65FF0" w:rsidRPr="00C12A43" w:rsidRDefault="00F65FF0" w:rsidP="00C12A43">
      <w:pPr>
        <w:pStyle w:val="NormalWeb"/>
        <w:shd w:val="clear" w:color="auto" w:fill="FFFFFF"/>
        <w:spacing w:line="315" w:lineRule="atLeast"/>
        <w:rPr>
          <w:rFonts w:ascii="Open Sans" w:hAnsi="Open Sans" w:cs="Helvetica"/>
          <w:sz w:val="21"/>
          <w:szCs w:val="21"/>
          <w:lang w:val="es-ES"/>
        </w:rPr>
      </w:pPr>
      <w:r>
        <w:rPr>
          <w:rFonts w:ascii="Open Sans" w:hAnsi="Open Sans" w:cs="Helvetica"/>
          <w:sz w:val="21"/>
          <w:szCs w:val="21"/>
          <w:lang w:val="es-ES"/>
        </w:rPr>
        <w:t xml:space="preserve">La observación que hace referencia a la inconsistencia de citas no aplica, ya que está mal interpretado el direccionamiento de la base conceptual a la que se hace referencia. Se ha revisado </w:t>
      </w:r>
      <w:r>
        <w:rPr>
          <w:rFonts w:ascii="Open Sans" w:hAnsi="Open Sans" w:cs="Helvetica"/>
          <w:sz w:val="21"/>
          <w:szCs w:val="21"/>
          <w:lang w:val="es-ES"/>
        </w:rPr>
        <w:lastRenderedPageBreak/>
        <w:t xml:space="preserve">nuevamente la pertinencia de las citas dentro del texto y se han añadido nuevas en las secciones sugeridas.  </w:t>
      </w:r>
    </w:p>
    <w:sectPr w:rsidR="00F65FF0" w:rsidRPr="00C12A4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Open Sans">
    <w:altName w:val="Times New Roman"/>
    <w:charset w:val="00"/>
    <w:family w:val="auto"/>
    <w:pitch w:val="default"/>
  </w:font>
  <w:font w:name="Avenir Nex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43"/>
    <w:rsid w:val="000E13A5"/>
    <w:rsid w:val="00107ACE"/>
    <w:rsid w:val="00135FA0"/>
    <w:rsid w:val="002569BC"/>
    <w:rsid w:val="002710D7"/>
    <w:rsid w:val="004B241E"/>
    <w:rsid w:val="004E41C1"/>
    <w:rsid w:val="0085398E"/>
    <w:rsid w:val="009F1C97"/>
    <w:rsid w:val="009F2D16"/>
    <w:rsid w:val="00A65808"/>
    <w:rsid w:val="00A969CD"/>
    <w:rsid w:val="00B6051E"/>
    <w:rsid w:val="00B612B4"/>
    <w:rsid w:val="00C12A43"/>
    <w:rsid w:val="00F65F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D8E8B-13B5-4B63-8E65-663233AA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12A43"/>
    <w:pPr>
      <w:spacing w:after="150" w:line="240" w:lineRule="auto"/>
    </w:pPr>
    <w:rPr>
      <w:rFonts w:ascii="Times New Roman" w:eastAsia="Times New Roman" w:hAnsi="Times New Roman" w:cs="Times New Roman"/>
      <w:color w:val="000000"/>
      <w:sz w:val="24"/>
      <w:szCs w:val="24"/>
      <w:lang w:eastAsia="es-EC"/>
    </w:rPr>
  </w:style>
  <w:style w:type="character" w:customStyle="1" w:styleId="itemimage">
    <w:name w:val="itemimage"/>
    <w:basedOn w:val="Fuentedeprrafopredeter"/>
    <w:rsid w:val="00C12A43"/>
    <w:rPr>
      <w:vanish w:val="0"/>
      <w:webHidden w:val="0"/>
      <w:specVanish w:val="0"/>
    </w:rPr>
  </w:style>
  <w:style w:type="character" w:styleId="Textoennegrita">
    <w:name w:val="Strong"/>
    <w:basedOn w:val="Fuentedeprrafopredeter"/>
    <w:uiPriority w:val="22"/>
    <w:qFormat/>
    <w:rsid w:val="00C12A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66573">
      <w:bodyDiv w:val="1"/>
      <w:marLeft w:val="0"/>
      <w:marRight w:val="0"/>
      <w:marTop w:val="0"/>
      <w:marBottom w:val="0"/>
      <w:divBdr>
        <w:top w:val="none" w:sz="0" w:space="0" w:color="auto"/>
        <w:left w:val="none" w:sz="0" w:space="0" w:color="auto"/>
        <w:bottom w:val="none" w:sz="0" w:space="0" w:color="auto"/>
        <w:right w:val="none" w:sz="0" w:space="0" w:color="auto"/>
      </w:divBdr>
      <w:divsChild>
        <w:div w:id="1597708720">
          <w:marLeft w:val="0"/>
          <w:marRight w:val="0"/>
          <w:marTop w:val="0"/>
          <w:marBottom w:val="0"/>
          <w:divBdr>
            <w:top w:val="none" w:sz="0" w:space="0" w:color="auto"/>
            <w:left w:val="none" w:sz="0" w:space="0" w:color="auto"/>
            <w:bottom w:val="none" w:sz="0" w:space="0" w:color="auto"/>
            <w:right w:val="none" w:sz="0" w:space="0" w:color="auto"/>
          </w:divBdr>
          <w:divsChild>
            <w:div w:id="216817413">
              <w:marLeft w:val="0"/>
              <w:marRight w:val="0"/>
              <w:marTop w:val="135"/>
              <w:marBottom w:val="135"/>
              <w:divBdr>
                <w:top w:val="none" w:sz="0" w:space="0" w:color="auto"/>
                <w:left w:val="none" w:sz="0" w:space="0" w:color="auto"/>
                <w:bottom w:val="none" w:sz="0" w:space="0" w:color="auto"/>
                <w:right w:val="none" w:sz="0" w:space="0" w:color="auto"/>
              </w:divBdr>
              <w:divsChild>
                <w:div w:id="715617242">
                  <w:marLeft w:val="0"/>
                  <w:marRight w:val="0"/>
                  <w:marTop w:val="0"/>
                  <w:marBottom w:val="0"/>
                  <w:divBdr>
                    <w:top w:val="none" w:sz="0" w:space="0" w:color="auto"/>
                    <w:left w:val="none" w:sz="0" w:space="0" w:color="auto"/>
                    <w:bottom w:val="none" w:sz="0" w:space="0" w:color="auto"/>
                    <w:right w:val="none" w:sz="0" w:space="0" w:color="auto"/>
                  </w:divBdr>
                  <w:divsChild>
                    <w:div w:id="628781428">
                      <w:marLeft w:val="0"/>
                      <w:marRight w:val="0"/>
                      <w:marTop w:val="0"/>
                      <w:marBottom w:val="0"/>
                      <w:divBdr>
                        <w:top w:val="none" w:sz="0" w:space="0" w:color="auto"/>
                        <w:left w:val="none" w:sz="0" w:space="0" w:color="auto"/>
                        <w:bottom w:val="none" w:sz="0" w:space="0" w:color="auto"/>
                        <w:right w:val="none" w:sz="0" w:space="0" w:color="auto"/>
                      </w:divBdr>
                      <w:divsChild>
                        <w:div w:id="992149528">
                          <w:marLeft w:val="0"/>
                          <w:marRight w:val="0"/>
                          <w:marTop w:val="0"/>
                          <w:marBottom w:val="0"/>
                          <w:divBdr>
                            <w:top w:val="none" w:sz="0" w:space="0" w:color="auto"/>
                            <w:left w:val="none" w:sz="0" w:space="0" w:color="auto"/>
                            <w:bottom w:val="none" w:sz="0" w:space="0" w:color="auto"/>
                            <w:right w:val="none" w:sz="0" w:space="0" w:color="auto"/>
                          </w:divBdr>
                          <w:divsChild>
                            <w:div w:id="291793789">
                              <w:marLeft w:val="0"/>
                              <w:marRight w:val="0"/>
                              <w:marTop w:val="0"/>
                              <w:marBottom w:val="0"/>
                              <w:divBdr>
                                <w:top w:val="none" w:sz="0" w:space="0" w:color="auto"/>
                                <w:left w:val="none" w:sz="0" w:space="0" w:color="auto"/>
                                <w:bottom w:val="none" w:sz="0" w:space="0" w:color="auto"/>
                                <w:right w:val="none" w:sz="0" w:space="0" w:color="auto"/>
                              </w:divBdr>
                              <w:divsChild>
                                <w:div w:id="732849636">
                                  <w:marLeft w:val="0"/>
                                  <w:marRight w:val="0"/>
                                  <w:marTop w:val="0"/>
                                  <w:marBottom w:val="300"/>
                                  <w:divBdr>
                                    <w:top w:val="none" w:sz="0" w:space="0" w:color="auto"/>
                                    <w:left w:val="none" w:sz="0" w:space="0" w:color="auto"/>
                                    <w:bottom w:val="none" w:sz="0" w:space="0" w:color="auto"/>
                                    <w:right w:val="none" w:sz="0" w:space="0" w:color="auto"/>
                                  </w:divBdr>
                                  <w:divsChild>
                                    <w:div w:id="1679966077">
                                      <w:marLeft w:val="0"/>
                                      <w:marRight w:val="0"/>
                                      <w:marTop w:val="0"/>
                                      <w:marBottom w:val="0"/>
                                      <w:divBdr>
                                        <w:top w:val="none" w:sz="0" w:space="0" w:color="auto"/>
                                        <w:left w:val="none" w:sz="0" w:space="0" w:color="auto"/>
                                        <w:bottom w:val="none" w:sz="0" w:space="0" w:color="auto"/>
                                        <w:right w:val="none" w:sz="0" w:space="0" w:color="auto"/>
                                      </w:divBdr>
                                      <w:divsChild>
                                        <w:div w:id="594753432">
                                          <w:marLeft w:val="0"/>
                                          <w:marRight w:val="0"/>
                                          <w:marTop w:val="0"/>
                                          <w:marBottom w:val="0"/>
                                          <w:divBdr>
                                            <w:top w:val="none" w:sz="0" w:space="0" w:color="auto"/>
                                            <w:left w:val="none" w:sz="0" w:space="0" w:color="auto"/>
                                            <w:bottom w:val="none" w:sz="0" w:space="0" w:color="auto"/>
                                            <w:right w:val="none" w:sz="0" w:space="0" w:color="auto"/>
                                          </w:divBdr>
                                          <w:divsChild>
                                            <w:div w:id="334302960">
                                              <w:marLeft w:val="0"/>
                                              <w:marRight w:val="0"/>
                                              <w:marTop w:val="0"/>
                                              <w:marBottom w:val="240"/>
                                              <w:divBdr>
                                                <w:top w:val="none" w:sz="0" w:space="0" w:color="auto"/>
                                                <w:left w:val="none" w:sz="0" w:space="0" w:color="auto"/>
                                                <w:bottom w:val="none" w:sz="0" w:space="0" w:color="auto"/>
                                                <w:right w:val="none" w:sz="0" w:space="0" w:color="auto"/>
                                              </w:divBdr>
                                              <w:divsChild>
                                                <w:div w:id="11691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8132308">
      <w:bodyDiv w:val="1"/>
      <w:marLeft w:val="0"/>
      <w:marRight w:val="0"/>
      <w:marTop w:val="0"/>
      <w:marBottom w:val="0"/>
      <w:divBdr>
        <w:top w:val="none" w:sz="0" w:space="0" w:color="auto"/>
        <w:left w:val="none" w:sz="0" w:space="0" w:color="auto"/>
        <w:bottom w:val="none" w:sz="0" w:space="0" w:color="auto"/>
        <w:right w:val="none" w:sz="0" w:space="0" w:color="auto"/>
      </w:divBdr>
      <w:divsChild>
        <w:div w:id="591742451">
          <w:marLeft w:val="0"/>
          <w:marRight w:val="0"/>
          <w:marTop w:val="0"/>
          <w:marBottom w:val="0"/>
          <w:divBdr>
            <w:top w:val="none" w:sz="0" w:space="0" w:color="auto"/>
            <w:left w:val="none" w:sz="0" w:space="0" w:color="auto"/>
            <w:bottom w:val="none" w:sz="0" w:space="0" w:color="auto"/>
            <w:right w:val="none" w:sz="0" w:space="0" w:color="auto"/>
          </w:divBdr>
          <w:divsChild>
            <w:div w:id="67190943">
              <w:marLeft w:val="0"/>
              <w:marRight w:val="0"/>
              <w:marTop w:val="135"/>
              <w:marBottom w:val="135"/>
              <w:divBdr>
                <w:top w:val="none" w:sz="0" w:space="0" w:color="auto"/>
                <w:left w:val="none" w:sz="0" w:space="0" w:color="auto"/>
                <w:bottom w:val="none" w:sz="0" w:space="0" w:color="auto"/>
                <w:right w:val="none" w:sz="0" w:space="0" w:color="auto"/>
              </w:divBdr>
              <w:divsChild>
                <w:div w:id="2011329708">
                  <w:marLeft w:val="0"/>
                  <w:marRight w:val="0"/>
                  <w:marTop w:val="0"/>
                  <w:marBottom w:val="0"/>
                  <w:divBdr>
                    <w:top w:val="none" w:sz="0" w:space="0" w:color="auto"/>
                    <w:left w:val="none" w:sz="0" w:space="0" w:color="auto"/>
                    <w:bottom w:val="none" w:sz="0" w:space="0" w:color="auto"/>
                    <w:right w:val="none" w:sz="0" w:space="0" w:color="auto"/>
                  </w:divBdr>
                  <w:divsChild>
                    <w:div w:id="1534072693">
                      <w:marLeft w:val="0"/>
                      <w:marRight w:val="0"/>
                      <w:marTop w:val="0"/>
                      <w:marBottom w:val="0"/>
                      <w:divBdr>
                        <w:top w:val="none" w:sz="0" w:space="0" w:color="auto"/>
                        <w:left w:val="none" w:sz="0" w:space="0" w:color="auto"/>
                        <w:bottom w:val="none" w:sz="0" w:space="0" w:color="auto"/>
                        <w:right w:val="none" w:sz="0" w:space="0" w:color="auto"/>
                      </w:divBdr>
                      <w:divsChild>
                        <w:div w:id="2060129000">
                          <w:marLeft w:val="0"/>
                          <w:marRight w:val="0"/>
                          <w:marTop w:val="0"/>
                          <w:marBottom w:val="0"/>
                          <w:divBdr>
                            <w:top w:val="none" w:sz="0" w:space="0" w:color="auto"/>
                            <w:left w:val="none" w:sz="0" w:space="0" w:color="auto"/>
                            <w:bottom w:val="none" w:sz="0" w:space="0" w:color="auto"/>
                            <w:right w:val="none" w:sz="0" w:space="0" w:color="auto"/>
                          </w:divBdr>
                          <w:divsChild>
                            <w:div w:id="2109620345">
                              <w:marLeft w:val="0"/>
                              <w:marRight w:val="0"/>
                              <w:marTop w:val="0"/>
                              <w:marBottom w:val="0"/>
                              <w:divBdr>
                                <w:top w:val="none" w:sz="0" w:space="0" w:color="auto"/>
                                <w:left w:val="none" w:sz="0" w:space="0" w:color="auto"/>
                                <w:bottom w:val="none" w:sz="0" w:space="0" w:color="auto"/>
                                <w:right w:val="none" w:sz="0" w:space="0" w:color="auto"/>
                              </w:divBdr>
                              <w:divsChild>
                                <w:div w:id="1867599677">
                                  <w:marLeft w:val="0"/>
                                  <w:marRight w:val="0"/>
                                  <w:marTop w:val="0"/>
                                  <w:marBottom w:val="300"/>
                                  <w:divBdr>
                                    <w:top w:val="none" w:sz="0" w:space="0" w:color="auto"/>
                                    <w:left w:val="none" w:sz="0" w:space="0" w:color="auto"/>
                                    <w:bottom w:val="none" w:sz="0" w:space="0" w:color="auto"/>
                                    <w:right w:val="none" w:sz="0" w:space="0" w:color="auto"/>
                                  </w:divBdr>
                                  <w:divsChild>
                                    <w:div w:id="2039767677">
                                      <w:marLeft w:val="0"/>
                                      <w:marRight w:val="0"/>
                                      <w:marTop w:val="0"/>
                                      <w:marBottom w:val="0"/>
                                      <w:divBdr>
                                        <w:top w:val="none" w:sz="0" w:space="0" w:color="auto"/>
                                        <w:left w:val="none" w:sz="0" w:space="0" w:color="auto"/>
                                        <w:bottom w:val="none" w:sz="0" w:space="0" w:color="auto"/>
                                        <w:right w:val="none" w:sz="0" w:space="0" w:color="auto"/>
                                      </w:divBdr>
                                      <w:divsChild>
                                        <w:div w:id="5349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www.igepn.edu.ec/images/portal/noticias/volcanes/ccn/2018/ccn20181214-3.jpg"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480</TotalTime>
  <Pages>1</Pages>
  <Words>686</Words>
  <Characters>3775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Terneus Jácome Héctor Esteban</dc:creator>
  <cp:keywords/>
  <dc:description/>
  <cp:lastModifiedBy>Terneus Jácome Héctor Esteban</cp:lastModifiedBy>
  <cp:revision>9</cp:revision>
  <dcterms:created xsi:type="dcterms:W3CDTF">2019-03-22T15:12:00Z</dcterms:created>
  <dcterms:modified xsi:type="dcterms:W3CDTF">2019-04-22T23:06:00Z</dcterms:modified>
</cp:coreProperties>
</file>